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E9" w:rsidRDefault="001C078F">
      <w:pPr>
        <w:pStyle w:val="Standard"/>
        <w:rPr>
          <w:rFonts w:hint="eastAsia"/>
          <w:sz w:val="64"/>
          <w:szCs w:val="64"/>
        </w:rPr>
      </w:pPr>
      <w:bookmarkStart w:id="0" w:name="_GoBack"/>
      <w:bookmarkEnd w:id="0"/>
      <w:r>
        <w:rPr>
          <w:sz w:val="64"/>
          <w:szCs w:val="64"/>
        </w:rPr>
        <w:t xml:space="preserve">                                      </w:t>
      </w:r>
      <w:r>
        <w:rPr>
          <w:sz w:val="36"/>
          <w:szCs w:val="36"/>
        </w:rPr>
        <w:t>Kolářová Zdeňka ACE2</w:t>
      </w:r>
    </w:p>
    <w:p w:rsidR="001B4FE9" w:rsidRDefault="001B4FE9">
      <w:pPr>
        <w:pStyle w:val="Standard"/>
        <w:rPr>
          <w:rFonts w:hint="eastAsia"/>
          <w:sz w:val="48"/>
          <w:szCs w:val="48"/>
        </w:rPr>
      </w:pPr>
    </w:p>
    <w:p w:rsidR="001B4FE9" w:rsidRDefault="001B4FE9">
      <w:pPr>
        <w:pStyle w:val="Standard"/>
        <w:rPr>
          <w:rFonts w:hint="eastAsia"/>
          <w:sz w:val="64"/>
          <w:szCs w:val="64"/>
        </w:rPr>
      </w:pPr>
    </w:p>
    <w:p w:rsidR="001B4FE9" w:rsidRDefault="001B4FE9">
      <w:pPr>
        <w:pStyle w:val="Standard"/>
        <w:rPr>
          <w:rFonts w:hint="eastAsia"/>
          <w:sz w:val="64"/>
          <w:szCs w:val="64"/>
        </w:rPr>
      </w:pPr>
    </w:p>
    <w:p w:rsidR="001B4FE9" w:rsidRDefault="001B4FE9">
      <w:pPr>
        <w:pStyle w:val="Standard"/>
        <w:rPr>
          <w:rFonts w:hint="eastAsia"/>
          <w:sz w:val="64"/>
          <w:szCs w:val="64"/>
        </w:rPr>
      </w:pPr>
    </w:p>
    <w:p w:rsidR="001B4FE9" w:rsidRDefault="001B4FE9">
      <w:pPr>
        <w:pStyle w:val="Standard"/>
        <w:rPr>
          <w:rFonts w:hint="eastAsia"/>
          <w:sz w:val="64"/>
          <w:szCs w:val="64"/>
        </w:rPr>
      </w:pPr>
    </w:p>
    <w:p w:rsidR="001B4FE9" w:rsidRDefault="001C078F">
      <w:pPr>
        <w:pStyle w:val="Standard"/>
        <w:rPr>
          <w:rFonts w:hint="eastAsia"/>
          <w:sz w:val="64"/>
          <w:szCs w:val="64"/>
        </w:rPr>
      </w:pPr>
      <w:r>
        <w:rPr>
          <w:sz w:val="64"/>
          <w:szCs w:val="64"/>
        </w:rPr>
        <w:t xml:space="preserve">     Odborná praxe VUP-Slovensko</w:t>
      </w:r>
    </w:p>
    <w:p w:rsidR="001B4FE9" w:rsidRDefault="001C078F">
      <w:pPr>
        <w:pStyle w:val="Standard"/>
        <w:rPr>
          <w:rFonts w:hint="eastAsia"/>
          <w:sz w:val="64"/>
          <w:szCs w:val="64"/>
        </w:rPr>
      </w:pPr>
      <w:r>
        <w:rPr>
          <w:sz w:val="64"/>
          <w:szCs w:val="64"/>
        </w:rPr>
        <w:t xml:space="preserve">                  </w:t>
      </w:r>
      <w:r>
        <w:rPr>
          <w:sz w:val="44"/>
          <w:szCs w:val="44"/>
        </w:rPr>
        <w:t>21.5.2018-1.6.2018</w:t>
      </w:r>
    </w:p>
    <w:p w:rsidR="001B4FE9" w:rsidRDefault="001C078F">
      <w:pPr>
        <w:pStyle w:val="Standard"/>
        <w:rPr>
          <w:rFonts w:hint="eastAsia"/>
          <w:sz w:val="44"/>
          <w:szCs w:val="44"/>
        </w:rPr>
      </w:pPr>
      <w:r>
        <w:rPr>
          <w:noProof/>
          <w:sz w:val="44"/>
          <w:szCs w:val="44"/>
          <w:lang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1878840</wp:posOffset>
            </wp:positionH>
            <wp:positionV relativeFrom="paragraph">
              <wp:posOffset>54720</wp:posOffset>
            </wp:positionV>
            <wp:extent cx="2193840" cy="1640880"/>
            <wp:effectExtent l="0" t="0" r="0" b="0"/>
            <wp:wrapSquare wrapText="bothSides"/>
            <wp:docPr id="1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3840" cy="164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4FE9" w:rsidRDefault="001C078F">
      <w:pPr>
        <w:pStyle w:val="Standard"/>
        <w:pageBreakBefore/>
        <w:rPr>
          <w:rFonts w:hint="eastAsia"/>
          <w:sz w:val="36"/>
          <w:szCs w:val="36"/>
        </w:rPr>
      </w:pPr>
      <w:r>
        <w:rPr>
          <w:sz w:val="36"/>
          <w:szCs w:val="36"/>
        </w:rPr>
        <w:lastRenderedPageBreak/>
        <w:t xml:space="preserve">Odbornou praxi jsem vykonávala ve výzkumném </w:t>
      </w:r>
      <w:r>
        <w:rPr>
          <w:sz w:val="36"/>
          <w:szCs w:val="36"/>
        </w:rPr>
        <w:t>ústavu Prievidze na Slovensku v rámci projektu EU s názvem ERASMUS+.</w:t>
      </w:r>
    </w:p>
    <w:p w:rsidR="001B4FE9" w:rsidRDefault="001C078F">
      <w:pPr>
        <w:pStyle w:val="Standard"/>
        <w:rPr>
          <w:rFonts w:hint="eastAsia"/>
          <w:sz w:val="36"/>
        </w:rPr>
      </w:pPr>
      <w:r>
        <w:rPr>
          <w:sz w:val="31"/>
          <w:szCs w:val="36"/>
        </w:rPr>
        <w:t xml:space="preserve">  </w:t>
      </w:r>
      <w:r>
        <w:rPr>
          <w:sz w:val="36"/>
          <w:szCs w:val="36"/>
        </w:rPr>
        <w:t xml:space="preserve"> </w:t>
      </w:r>
      <w:bookmarkStart w:id="1" w:name="tw-target-text"/>
      <w:bookmarkEnd w:id="1"/>
      <w:r>
        <w:rPr>
          <w:color w:val="212121"/>
          <w:sz w:val="36"/>
          <w:szCs w:val="36"/>
        </w:rPr>
        <w:t xml:space="preserve">VUP, a.s. vznikla v r. 1996 transformací Výzkumného ústavu pro petrochemii, založeného v r. 1950. Během své existence VUP vyřešil a ve spolupráci s podniky realizoval několik chemické </w:t>
      </w:r>
      <w:r>
        <w:rPr>
          <w:color w:val="212121"/>
          <w:sz w:val="36"/>
          <w:szCs w:val="36"/>
        </w:rPr>
        <w:t>výroby a racionalizační opatření v NCHZ Nováky, Chemko Strážske, PCHZ Žilina, Duslo Šaľa, Slovnaftu Bratislava, SLZ Hnúšťa a dalších podnicích doma iv zahraničí.</w:t>
      </w:r>
    </w:p>
    <w:p w:rsidR="001B4FE9" w:rsidRDefault="001B4FE9">
      <w:pPr>
        <w:pStyle w:val="PreformattedText"/>
        <w:widowControl/>
        <w:spacing w:line="360" w:lineRule="atLeast"/>
        <w:rPr>
          <w:rFonts w:ascii="Liberation Serif" w:hAnsi="Liberation Serif" w:hint="eastAsia"/>
          <w:sz w:val="36"/>
          <w:szCs w:val="36"/>
        </w:rPr>
      </w:pPr>
    </w:p>
    <w:p w:rsidR="001B4FE9" w:rsidRDefault="001C078F">
      <w:pPr>
        <w:pStyle w:val="PreformattedText"/>
        <w:widowControl/>
        <w:spacing w:line="360" w:lineRule="atLeast"/>
        <w:rPr>
          <w:rFonts w:ascii="Liberation Serif" w:hAnsi="Liberation Serif" w:hint="eastAsia"/>
          <w:color w:val="212121"/>
          <w:sz w:val="36"/>
          <w:szCs w:val="36"/>
        </w:rPr>
      </w:pPr>
      <w:r>
        <w:rPr>
          <w:rFonts w:ascii="Liberation Serif" w:hAnsi="Liberation Serif"/>
          <w:color w:val="212121"/>
          <w:sz w:val="36"/>
          <w:szCs w:val="36"/>
        </w:rPr>
        <w:t>V současnosti provádí výzkum chemických syntéz, výrobků a procesů do úrovně technologických p</w:t>
      </w:r>
      <w:r>
        <w:rPr>
          <w:rFonts w:ascii="Liberation Serif" w:hAnsi="Liberation Serif"/>
          <w:color w:val="212121"/>
          <w:sz w:val="36"/>
          <w:szCs w:val="36"/>
        </w:rPr>
        <w:t>odkladů pro nové výrobny, zabývá se výrobou produktů malotonážní chemie, chemických specialit, čistých chemikálií a výrobků pro zdravotnictví a kosmetiku a poskytuje servisní a odborná služby v oblasti průmyslové ekologie, chemických analýz, fyzikálně-chem</w:t>
      </w:r>
      <w:r>
        <w:rPr>
          <w:rFonts w:ascii="Liberation Serif" w:hAnsi="Liberation Serif"/>
          <w:color w:val="212121"/>
          <w:sz w:val="36"/>
          <w:szCs w:val="36"/>
        </w:rPr>
        <w:t>ických procesů, měření explozivních vlastností plynů a par a testování chemických látek pro potřeby evropské chemické legislativy REACH.</w:t>
      </w:r>
    </w:p>
    <w:p w:rsidR="001B4FE9" w:rsidRDefault="001C078F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   Pracují s velkým počtem přístrojů,které jsem si mohla během své praxe vyzkoušet.</w:t>
      </w:r>
    </w:p>
    <w:p w:rsidR="001B4FE9" w:rsidRDefault="001C078F">
      <w:pPr>
        <w:pStyle w:val="Standard"/>
        <w:rPr>
          <w:rFonts w:hint="eastAsia"/>
          <w:sz w:val="36"/>
          <w:szCs w:val="36"/>
        </w:rPr>
      </w:pPr>
      <w:r>
        <w:rPr>
          <w:noProof/>
          <w:sz w:val="36"/>
          <w:szCs w:val="36"/>
          <w:lang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2007360</wp:posOffset>
            </wp:positionH>
            <wp:positionV relativeFrom="paragraph">
              <wp:posOffset>794880</wp:posOffset>
            </wp:positionV>
            <wp:extent cx="1547640" cy="3516479"/>
            <wp:effectExtent l="0" t="0" r="0" b="7771"/>
            <wp:wrapSquare wrapText="bothSides"/>
            <wp:docPr id="2" name="Obráze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7640" cy="3516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4FE9" w:rsidRDefault="001C078F">
      <w:pPr>
        <w:pStyle w:val="Nadpis2"/>
        <w:pageBreakBefore/>
        <w:rPr>
          <w:rFonts w:hint="eastAsia"/>
        </w:rPr>
      </w:pPr>
      <w:r>
        <w:lastRenderedPageBreak/>
        <w:t xml:space="preserve">                       Atomová ab</w:t>
      </w:r>
      <w:r>
        <w:t>sorbční spektometrie</w:t>
      </w:r>
    </w:p>
    <w:p w:rsidR="001B4FE9" w:rsidRDefault="001C078F">
      <w:pPr>
        <w:pStyle w:val="Textbody"/>
        <w:rPr>
          <w:rFonts w:hint="eastAsia"/>
        </w:rPr>
      </w:pPr>
      <w:r>
        <w:rPr>
          <w:sz w:val="36"/>
          <w:szCs w:val="36"/>
        </w:rPr>
        <w:t>Atomová abspobční spetkrometrie</w:t>
      </w:r>
      <w:r>
        <w:rPr>
          <w:sz w:val="36"/>
          <w:szCs w:val="36"/>
        </w:rPr>
        <w:t xml:space="preserve"> </w:t>
      </w:r>
      <w:r>
        <w:rPr>
          <w:color w:val="222222"/>
          <w:sz w:val="36"/>
          <w:szCs w:val="36"/>
        </w:rPr>
        <w:t>je spektrometrická analytická metoda sloužící ke stanovení obsahu stopových i významných koncentrací jednotlivých prvků v analyzovaném roztoku. Metodou lze analyzovat přes 60 prvků periodické tabulky s citlivostí od setin do stovek pmm. Využívá se napříkl</w:t>
      </w:r>
      <w:r>
        <w:rPr>
          <w:color w:val="222222"/>
          <w:sz w:val="36"/>
          <w:szCs w:val="36"/>
        </w:rPr>
        <w:t>ad ve forenzní chemii zejména ke stanovení těžkých kovů se střevech.</w:t>
      </w:r>
    </w:p>
    <w:p w:rsidR="001B4FE9" w:rsidRDefault="001C078F">
      <w:pPr>
        <w:pStyle w:val="Textbody"/>
        <w:rPr>
          <w:rFonts w:hint="eastAsia"/>
        </w:rPr>
      </w:pPr>
      <w:r>
        <w:rPr>
          <w:color w:val="222222"/>
          <w:sz w:val="36"/>
          <w:szCs w:val="36"/>
        </w:rPr>
        <w:t xml:space="preserve">   S tímto přístrojem značky SHIMADZU nás laborantka první den seznámila a naučila pracovat. Základem bylo udělat si kalibrační roztoky. Konkrétně jsme stanovovali obsažená procenta dras</w:t>
      </w:r>
      <w:r>
        <w:rPr>
          <w:color w:val="222222"/>
          <w:sz w:val="36"/>
          <w:szCs w:val="36"/>
        </w:rPr>
        <w:t>líku v neznámém vzorku od externího příjemce. Zanesli jsme tedy kalibrační roztoky do přístroje,aby vytvořil kalibrační křivku a poté přidali neznámý vzorek(roztok). Byl nám poskytnut princip celého fungování přístroje,jehož fotky přikládám k této zprávě.</w:t>
      </w:r>
    </w:p>
    <w:p w:rsidR="001B4FE9" w:rsidRDefault="001C078F">
      <w:pPr>
        <w:pStyle w:val="Textbody"/>
        <w:rPr>
          <w:rFonts w:hint="eastAsia"/>
          <w:color w:val="222222"/>
          <w:sz w:val="36"/>
          <w:szCs w:val="36"/>
        </w:rPr>
      </w:pPr>
      <w:r>
        <w:rPr>
          <w:noProof/>
          <w:color w:val="222222"/>
          <w:sz w:val="36"/>
          <w:szCs w:val="36"/>
          <w:lang w:eastAsia="cs-CZ" w:bidi="ar-SA"/>
        </w:rPr>
        <w:lastRenderedPageBreak/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-32400</wp:posOffset>
            </wp:positionH>
            <wp:positionV relativeFrom="paragraph">
              <wp:posOffset>307800</wp:posOffset>
            </wp:positionV>
            <wp:extent cx="6095880" cy="4572000"/>
            <wp:effectExtent l="0" t="0" r="120" b="0"/>
            <wp:wrapSquare wrapText="bothSides"/>
            <wp:docPr id="3" name="Obráze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588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4FE9" w:rsidRDefault="001C078F">
      <w:pPr>
        <w:pStyle w:val="Nadpis2"/>
        <w:pageBreakBefore/>
        <w:rPr>
          <w:rFonts w:hint="eastAsia"/>
        </w:rPr>
      </w:pPr>
      <w:r>
        <w:rPr>
          <w:rFonts w:ascii="Liberation Serif" w:hAnsi="Liberation Serif"/>
          <w:b w:val="0"/>
          <w:bCs w:val="0"/>
          <w:color w:val="222222"/>
          <w:sz w:val="36"/>
          <w:szCs w:val="36"/>
        </w:rPr>
        <w:lastRenderedPageBreak/>
        <w:t xml:space="preserve">                             </w:t>
      </w:r>
      <w:r>
        <w:rPr>
          <w:rFonts w:ascii="Liberation Serif" w:hAnsi="Liberation Serif"/>
          <w:color w:val="222222"/>
          <w:sz w:val="36"/>
          <w:szCs w:val="36"/>
        </w:rPr>
        <w:t>Plynová chromatografie</w:t>
      </w:r>
    </w:p>
    <w:p w:rsidR="001B4FE9" w:rsidRDefault="001C078F">
      <w:pPr>
        <w:pStyle w:val="Textbody"/>
        <w:rPr>
          <w:rFonts w:hint="eastAsia"/>
        </w:rPr>
      </w:pPr>
      <w:r>
        <w:rPr>
          <w:color w:val="222222"/>
          <w:sz w:val="36"/>
          <w:szCs w:val="36"/>
        </w:rPr>
        <w:t xml:space="preserve"> Plynová chromatografie j</w:t>
      </w:r>
      <w:r>
        <w:rPr>
          <w:b/>
          <w:bCs/>
          <w:color w:val="222222"/>
          <w:sz w:val="36"/>
          <w:szCs w:val="36"/>
        </w:rPr>
        <w:t>e typ separační metody, kdy se od sebe oddělují složky obsažené ve vzorku a které mohou být převedeny do plynné fáze, aniž by došlo k jejich rozkladu. Stacionární (nepohyblivá)</w:t>
      </w:r>
      <w:r>
        <w:rPr>
          <w:b/>
          <w:bCs/>
          <w:color w:val="222222"/>
          <w:sz w:val="36"/>
          <w:szCs w:val="36"/>
        </w:rPr>
        <w:t xml:space="preserve"> fáze interaguje se složkami vzorku, který je unášen mobilní (pohyblivou, zde plynovou) fází, a proto se při pohybu zdržují. Na konec stacionární fáze se tedy dostávají dříve složky méně zadržované.</w:t>
      </w:r>
    </w:p>
    <w:p w:rsidR="001B4FE9" w:rsidRDefault="001C078F">
      <w:pPr>
        <w:pStyle w:val="Textbody"/>
        <w:rPr>
          <w:rFonts w:hint="eastAsia"/>
        </w:rPr>
      </w:pPr>
      <w:r>
        <w:rPr>
          <w:b/>
          <w:bCs/>
          <w:color w:val="222222"/>
          <w:sz w:val="36"/>
          <w:szCs w:val="36"/>
        </w:rPr>
        <w:t xml:space="preserve">      Vzorek se dávkuje do proudu plynu, který jej dále </w:t>
      </w:r>
      <w:r>
        <w:rPr>
          <w:b/>
          <w:bCs/>
          <w:color w:val="222222"/>
          <w:sz w:val="36"/>
          <w:szCs w:val="36"/>
        </w:rPr>
        <w:t>unáší kolonou. Proto se mobilní fáze nazývá nosný plyn. Aby vzorek mohl být transportován, musí se ihned přeměnit na plyn. V koloně se složky separují na základě různé schopnosti různě silně se poutat se stacionární fází. Složky opouštějící kolonu indikuje</w:t>
      </w:r>
      <w:r>
        <w:rPr>
          <w:b/>
          <w:bCs/>
          <w:color w:val="222222"/>
          <w:sz w:val="36"/>
          <w:szCs w:val="36"/>
        </w:rPr>
        <w:t xml:space="preserve"> detektor. Signál z detektoru se vyhodnocuje a z časového průběhu intenzity signálu se určí druh a kvantitativní zastoupení složek.</w:t>
      </w:r>
    </w:p>
    <w:p w:rsidR="001B4FE9" w:rsidRDefault="001C078F">
      <w:pPr>
        <w:pStyle w:val="Textbody"/>
        <w:rPr>
          <w:rFonts w:hint="eastAsia"/>
        </w:rPr>
      </w:pPr>
      <w:r>
        <w:rPr>
          <w:b/>
          <w:bCs/>
          <w:color w:val="222222"/>
          <w:sz w:val="36"/>
          <w:szCs w:val="36"/>
        </w:rPr>
        <w:t xml:space="preserve">     </w:t>
      </w:r>
      <w:r>
        <w:rPr>
          <w:color w:val="222222"/>
          <w:sz w:val="36"/>
          <w:szCs w:val="36"/>
        </w:rPr>
        <w:t>Navážili jsme 0,05 vzorku číslo F-13-146. Pak jsme přidali 1 gram dimethylformaldehidu a zjišťovali jsme čistotu vzork</w:t>
      </w:r>
      <w:r>
        <w:rPr>
          <w:color w:val="222222"/>
          <w:sz w:val="36"/>
          <w:szCs w:val="36"/>
        </w:rPr>
        <w:t>u. Vzorek F-13-146 byl čistý z 94,7%. Též jsme požádali o kopii výsledku ,který dodávám k této zprávě.</w:t>
      </w:r>
    </w:p>
    <w:p w:rsidR="001B4FE9" w:rsidRDefault="001C078F">
      <w:pPr>
        <w:pStyle w:val="Textbody"/>
        <w:rPr>
          <w:rFonts w:hint="eastAsia"/>
          <w:color w:val="222222"/>
          <w:sz w:val="36"/>
          <w:szCs w:val="36"/>
        </w:rPr>
      </w:pPr>
      <w:r>
        <w:rPr>
          <w:noProof/>
          <w:color w:val="222222"/>
          <w:sz w:val="36"/>
          <w:szCs w:val="36"/>
          <w:lang w:eastAsia="cs-CZ" w:bidi="ar-SA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1609200</wp:posOffset>
            </wp:positionH>
            <wp:positionV relativeFrom="paragraph">
              <wp:posOffset>-66600</wp:posOffset>
            </wp:positionV>
            <wp:extent cx="2607840" cy="3473279"/>
            <wp:effectExtent l="0" t="0" r="2010" b="0"/>
            <wp:wrapSquare wrapText="bothSides"/>
            <wp:docPr id="4" name="Obrázek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7840" cy="3473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4FE9" w:rsidRDefault="001C078F">
      <w:pPr>
        <w:pStyle w:val="Nadpis2"/>
        <w:pageBreakBefore/>
        <w:rPr>
          <w:rFonts w:hint="eastAsia"/>
        </w:rPr>
      </w:pPr>
      <w:r>
        <w:lastRenderedPageBreak/>
        <w:t xml:space="preserve">                                  Izotachoforéza</w:t>
      </w:r>
    </w:p>
    <w:p w:rsidR="001B4FE9" w:rsidRDefault="001C078F">
      <w:pPr>
        <w:pStyle w:val="Textbody"/>
        <w:rPr>
          <w:rFonts w:hint="eastAsia"/>
          <w:sz w:val="36"/>
          <w:szCs w:val="36"/>
        </w:rPr>
      </w:pPr>
      <w:r>
        <w:rPr>
          <w:color w:val="000000"/>
          <w:sz w:val="36"/>
          <w:szCs w:val="36"/>
        </w:rPr>
        <w:t>je elektromigrační separační technika umožňující analýzu ionogenních látek v roztocích. Vzorek je dávk</w:t>
      </w:r>
      <w:r>
        <w:rPr>
          <w:color w:val="000000"/>
          <w:sz w:val="36"/>
          <w:szCs w:val="36"/>
        </w:rPr>
        <w:t xml:space="preserve">ován na rozhraní dvou elektrolytů o rozdílných pohyblivostech iontů. Směs se dělí při konstantním proudu v gradientu vysokého napětí. Po rozdělení směsi do jednotlivých zón jsou tyto zóny sevřeny mezi vedoucím a zakončujícím elektrolytem, nevzdalují se od </w:t>
      </w:r>
      <w:r>
        <w:rPr>
          <w:color w:val="000000"/>
          <w:sz w:val="36"/>
          <w:szCs w:val="36"/>
        </w:rPr>
        <w:t>sebe a až k místu detekce se pohybují stále stejnou rychlostí (izo-, tacho-).</w:t>
      </w:r>
    </w:p>
    <w:p w:rsidR="001B4FE9" w:rsidRDefault="001C078F">
      <w:pPr>
        <w:pStyle w:val="Textbody"/>
        <w:rPr>
          <w:rFonts w:hint="eastAsia"/>
          <w:sz w:val="36"/>
          <w:szCs w:val="36"/>
        </w:rPr>
      </w:pPr>
      <w:r>
        <w:rPr>
          <w:sz w:val="36"/>
          <w:szCs w:val="36"/>
        </w:rPr>
        <w:t>Skládá se ze dvou „částí“. Z předseparační kolony a analytické kolony. Důležitou součástí jsou také elektrolyty,které se rozdělují na vodící elektrolyt a zakončující elektrolyt.</w:t>
      </w:r>
    </w:p>
    <w:p w:rsidR="001B4FE9" w:rsidRDefault="001C078F">
      <w:pPr>
        <w:pStyle w:val="Textbody"/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    Kalibrační křivka se tvoří z kyseliny mravenčí,máslové,dimethylbutanové a zakončujícího elektrolytu.</w:t>
      </w:r>
    </w:p>
    <w:p w:rsidR="001B4FE9" w:rsidRDefault="001C078F">
      <w:pPr>
        <w:pStyle w:val="Textbody"/>
        <w:rPr>
          <w:rFonts w:hint="eastAsia"/>
          <w:sz w:val="36"/>
          <w:szCs w:val="36"/>
        </w:rPr>
      </w:pPr>
      <w:r>
        <w:rPr>
          <w:noProof/>
          <w:sz w:val="36"/>
          <w:szCs w:val="36"/>
          <w:lang w:eastAsia="cs-CZ" w:bidi="ar-SA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1383840</wp:posOffset>
            </wp:positionH>
            <wp:positionV relativeFrom="paragraph">
              <wp:posOffset>42480</wp:posOffset>
            </wp:positionV>
            <wp:extent cx="3565440" cy="4749840"/>
            <wp:effectExtent l="0" t="0" r="0" b="0"/>
            <wp:wrapSquare wrapText="bothSides"/>
            <wp:docPr id="5" name="Obrázek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5440" cy="474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4FE9" w:rsidRDefault="001B4FE9">
      <w:pPr>
        <w:pStyle w:val="Textbody"/>
        <w:rPr>
          <w:rFonts w:hint="eastAsia"/>
          <w:color w:val="222222"/>
          <w:sz w:val="36"/>
          <w:szCs w:val="36"/>
        </w:rPr>
      </w:pPr>
    </w:p>
    <w:p w:rsidR="001B4FE9" w:rsidRDefault="001C078F">
      <w:pPr>
        <w:pStyle w:val="Nadpis2"/>
        <w:pageBreakBefore/>
        <w:rPr>
          <w:rFonts w:hint="eastAsia"/>
        </w:rPr>
      </w:pPr>
      <w:r>
        <w:lastRenderedPageBreak/>
        <w:t xml:space="preserve">                                     Mikrobiologie</w:t>
      </w:r>
    </w:p>
    <w:p w:rsidR="001B4FE9" w:rsidRDefault="001C078F">
      <w:pPr>
        <w:pStyle w:val="Textbody"/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Výzkumný ústav Prievidza se pyšní také tím,že má k dispozici vlastní mikrobiologickou </w:t>
      </w:r>
      <w:r>
        <w:rPr>
          <w:sz w:val="36"/>
          <w:szCs w:val="36"/>
        </w:rPr>
        <w:t>laboratoř,ve které může testovat svoje kosmetické produkty. Mikrobiologie se dělá vždy v pátek a to tak,že si vyzvednete očíslované produkty a klasicky pomocí agaru,petriho misek atd. zjišťujete přítomnost nežádoucích bakterii.</w:t>
      </w:r>
    </w:p>
    <w:p w:rsidR="001B4FE9" w:rsidRDefault="001C078F">
      <w:pPr>
        <w:pStyle w:val="Textbody"/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   Dále se v zadaných vzorc</w:t>
      </w:r>
      <w:r>
        <w:rPr>
          <w:sz w:val="36"/>
          <w:szCs w:val="36"/>
        </w:rPr>
        <w:t>ích kosmetiky měří pH. Optimální pH je pro každý vzorek jiné,protože se zde dělá i kosmetika pro batolata a děti,tak i kosmetika určená pro dospělé lidi.</w:t>
      </w:r>
    </w:p>
    <w:p w:rsidR="001B4FE9" w:rsidRDefault="001C078F">
      <w:pPr>
        <w:pStyle w:val="Nadpis2"/>
        <w:rPr>
          <w:rFonts w:hint="eastAsia"/>
        </w:rPr>
      </w:pPr>
      <w:r>
        <w:t xml:space="preserve">                                   Další metody</w:t>
      </w:r>
    </w:p>
    <w:p w:rsidR="001B4FE9" w:rsidRDefault="001C078F">
      <w:pPr>
        <w:pStyle w:val="Textbody"/>
        <w:rPr>
          <w:rFonts w:hint="eastAsia"/>
          <w:sz w:val="36"/>
          <w:szCs w:val="36"/>
        </w:rPr>
      </w:pPr>
      <w:r>
        <w:rPr>
          <w:sz w:val="36"/>
          <w:szCs w:val="36"/>
        </w:rPr>
        <w:t>Dále jsme se věnovali také destilaci,filtraci,kalorime</w:t>
      </w:r>
      <w:r>
        <w:rPr>
          <w:sz w:val="36"/>
          <w:szCs w:val="36"/>
        </w:rPr>
        <w:t>trii,neutralizaci a také jsme navštívili střední školu chemickou v Novákách. V přiložených listech najdete principy metod,které nám zaměstnanci firmy poskytli,grafy a např. tabulky určování sypného úhlu nebo Cakingu testu. Dále také fotografie ze školy v N</w:t>
      </w:r>
      <w:r>
        <w:rPr>
          <w:sz w:val="36"/>
          <w:szCs w:val="36"/>
        </w:rPr>
        <w:t xml:space="preserve">ovákách.   </w:t>
      </w:r>
    </w:p>
    <w:sectPr w:rsidR="001B4FE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78F" w:rsidRDefault="001C078F">
      <w:pPr>
        <w:rPr>
          <w:rFonts w:hint="eastAsia"/>
        </w:rPr>
      </w:pPr>
      <w:r>
        <w:separator/>
      </w:r>
    </w:p>
  </w:endnote>
  <w:endnote w:type="continuationSeparator" w:id="0">
    <w:p w:rsidR="001C078F" w:rsidRDefault="001C078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78F" w:rsidRDefault="001C078F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1C078F" w:rsidRDefault="001C078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B4FE9"/>
    <w:rsid w:val="001B4FE9"/>
    <w:rsid w:val="001C078F"/>
    <w:rsid w:val="00C6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b/>
      <w:bCs/>
    </w:rPr>
  </w:style>
  <w:style w:type="paragraph" w:styleId="Nadpis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dpis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b/>
      <w:bCs/>
    </w:rPr>
  </w:style>
  <w:style w:type="paragraph" w:styleId="Nadpis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dpis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7</Pages>
  <Words>700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2018-06-05T20:09:00Z</cp:lastPrinted>
  <dcterms:created xsi:type="dcterms:W3CDTF">2018-06-05T07:23:00Z</dcterms:created>
  <dcterms:modified xsi:type="dcterms:W3CDTF">2018-06-22T06:43:00Z</dcterms:modified>
</cp:coreProperties>
</file>